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A" w:rsidRPr="00154865" w:rsidRDefault="00082CEA" w:rsidP="00082CEA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6"/>
      <w:bookmarkStart w:id="1" w:name="_Toc120092734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85515A">
        <w:rPr>
          <w:rFonts w:ascii="Times New Roman" w:eastAsia="Calibri" w:hAnsi="Times New Roman" w:cs="Times New Roman"/>
          <w:szCs w:val="28"/>
          <w:lang w:eastAsia="ru-RU"/>
        </w:rPr>
        <w:t>5</w:t>
      </w:r>
    </w:p>
    <w:p w:rsidR="00082CEA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082CEA" w:rsidRPr="00154865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82CEA" w:rsidRPr="00082CEA" w:rsidRDefault="00082CEA" w:rsidP="00082CEA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собеседника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либо полученными от ответственного организатора образовательной организации;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2E6A7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85515A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Рекомендациями Рособрнадзора по организации и проведению итогового собеседования по русскому языку.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беседы;</w:t>
      </w:r>
      <w:r w:rsidRPr="00154865" w:rsidDel="00B602C3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инструкцию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Для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текст для чтения;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 темами беседы на выбор и планами беседы – по 2 экземпляра каждого материала;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должн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ознакомиться с КИМ итогового собеседования</w:t>
      </w:r>
    </w:p>
    <w:p w:rsidR="00D16E9E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Собеседник в аудитории проведения итогового собеседования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B95439" w:rsidRDefault="00486F1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обеспечивает проверку документа, удостоверяющего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личност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ь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стник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итогового собеседования;</w:t>
      </w:r>
    </w:p>
    <w:p w:rsidR="00486F11" w:rsidRPr="00154865" w:rsidRDefault="00486F11" w:rsidP="00486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вносит в ведомость учета проведения итогового собеседования в аудитории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данные участника</w:t>
      </w:r>
      <w:r w:rsid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отметки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(при наличии);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создает доб</w:t>
      </w:r>
      <w:r w:rsidR="00D16E9E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рожелательную рабочую 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атмосферу;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организует деятельность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проводит инструктаж участника итогового собеседования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черновики 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фиксирует время начала ответа и время окончания ответа каждого задания КИМ итогового собеседования;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тем, чтобы участник итогового собеседования произнес под аудиозапись свою фамилию, имя, отчество, номер варианта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,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прежде чем приступить к ответу</w:t>
      </w:r>
      <w:r w:rsidR="00B31F70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(в продолжительность проведения итогового собеседования не включается);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следит за тем, чтобы участник итогового собеседования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перед ответом на каждое задание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произносил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его </w:t>
      </w:r>
      <w:r w:rsidR="00B95439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номер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соблюдением времени, отведенного на подготовку ответа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и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на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–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 учетом индивидуальных особенностей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задает вопросы (на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основе карточки собеседника или иные вопросы в контексте ответа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не допускает использования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При выполнении заданий КИМ итогового собеседования (задание № 2 «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Подробный п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ересказ текста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 включением приведённого высказывания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(отдельные записи)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не</w:t>
      </w:r>
      <w:r w:rsidR="00C222DD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разрешается.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При этом участники во время проведения итогового собеседования могут осуществлять подчёркивание и разметку в тексте КИМ.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черновиками.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принимает от эксперта запечатанные протоколы эксперта по оцениванию ответов участников итогового собеседования, КИМ итогового собеседования, выданный эксперту,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0F7F94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наличии);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передает ответственному организатору образовательной организации в Штабе следующие материалы: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собеседования;</w:t>
      </w:r>
    </w:p>
    <w:p w:rsidR="00154865" w:rsidRPr="00154865" w:rsidRDefault="000F7F94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черновики для эксперта 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(при наличии</w:t>
      </w:r>
      <w:r w:rsidR="00154865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заполненную 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</w:p>
    <w:p w:rsidR="00506FEE" w:rsidRDefault="00506FEE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E56EF" w:rsidRDefault="000E56EF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E56EF" w:rsidRDefault="000E56EF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337B1" w:rsidRDefault="000337B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Default="004D2948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Р</w:t>
      </w:r>
      <w:r w:rsidR="00154865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екомендуемый порядок </w:t>
      </w:r>
      <w:r w:rsidR="00154865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</w:t>
      </w:r>
      <w:r w:rsidR="0000334F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ведения </w:t>
      </w:r>
      <w:r w:rsidR="00B34DA9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процедуры </w:t>
      </w:r>
      <w:r w:rsidR="0000334F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</w:t>
      </w:r>
      <w:r w:rsidR="0000334F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собеседования.</w:t>
      </w:r>
    </w:p>
    <w:p w:rsidR="000337B1" w:rsidRPr="000337B1" w:rsidRDefault="000337B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16"/>
          <w:szCs w:val="26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418"/>
      </w:tblGrid>
      <w:tr w:rsidR="00154865" w:rsidRPr="00154865" w:rsidTr="000E56EF">
        <w:trPr>
          <w:cantSplit/>
          <w:tblHeader/>
        </w:trPr>
        <w:tc>
          <w:tcPr>
            <w:tcW w:w="56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собеседника</w:t>
            </w:r>
          </w:p>
        </w:tc>
        <w:tc>
          <w:tcPr>
            <w:tcW w:w="3260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141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OLE_LINK1"/>
            <w:bookmarkStart w:id="3" w:name="OLE_LINK2"/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Выполнение заданий итогового собеседования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</w:tcPr>
          <w:p w:rsidR="00154865" w:rsidRPr="00154865" w:rsidRDefault="00154865" w:rsidP="001548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56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Приблизительное</w:t>
            </w: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15-16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Предложить участнику собеседования ознакомиться</w:t>
            </w: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текстом для чтения вслух.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чтению вслух.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про себя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Прослушать текст.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Переключить участника собеседования на другой вид работы</w:t>
            </w:r>
          </w:p>
        </w:tc>
        <w:tc>
          <w:tcPr>
            <w:tcW w:w="3260" w:type="dxa"/>
          </w:tcPr>
          <w:p w:rsidR="00154865" w:rsidRPr="00B95439" w:rsidRDefault="00154865" w:rsidP="00B954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0F7F94"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подробному </w:t>
            </w:r>
            <w:r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пересказу с </w:t>
            </w:r>
            <w:r w:rsidR="000F7F94"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включением приведённого высказывания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Забрать у участника собеседования исходный текст.  Слушать пересказ.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пересказ участника собеседования</w:t>
            </w:r>
          </w:p>
        </w:tc>
        <w:tc>
          <w:tcPr>
            <w:tcW w:w="3260" w:type="dxa"/>
          </w:tcPr>
          <w:p w:rsidR="00154865" w:rsidRPr="000337B1" w:rsidRDefault="000E56EF" w:rsidP="000E5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</w:t>
            </w:r>
            <w:r w:rsidR="00154865"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ересказ </w:t>
            </w:r>
          </w:p>
          <w:p w:rsidR="000E56EF" w:rsidRPr="000337B1" w:rsidRDefault="000E56EF" w:rsidP="000E5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B1">
              <w:rPr>
                <w:rFonts w:ascii="Times New Roman" w:hAnsi="Times New Roman" w:cs="Times New Roman"/>
                <w:sz w:val="24"/>
                <w:szCs w:val="24"/>
              </w:rPr>
              <w:t>с включением приведённого высказывания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154865" w:rsidRPr="00154865" w:rsidRDefault="00154865" w:rsidP="00B34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Забрать у участника собеседования материалы, необходимые для выполнения </w:t>
            </w: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</w:t>
            </w:r>
            <w:r w:rsidR="00B34DA9"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15486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 выдать ему соответствующую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карточку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center" w:pos="48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Предложить участнику собеседования ознакомиться с темой монолога.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Предупредить, что на подготовку отводится 1 минута, а высказывание не должно занимать более 3 минут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ответу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Слушать устный ответ. 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 по теме выбранного варианта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Задать вопросы для диалога. 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Вступление в диалог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02ED9" w:rsidRDefault="00002ED9" w:rsidP="000337B1">
      <w:pPr>
        <w:spacing w:after="0" w:line="240" w:lineRule="auto"/>
        <w:jc w:val="both"/>
      </w:pPr>
      <w:bookmarkStart w:id="4" w:name="_GoBack"/>
      <w:bookmarkEnd w:id="2"/>
      <w:bookmarkEnd w:id="3"/>
      <w:bookmarkEnd w:id="4"/>
    </w:p>
    <w:sectPr w:rsidR="00002ED9" w:rsidSect="0050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337B1"/>
    <w:rsid w:val="00082CEA"/>
    <w:rsid w:val="00097F40"/>
    <w:rsid w:val="000B0BD6"/>
    <w:rsid w:val="000E56EF"/>
    <w:rsid w:val="000F7F94"/>
    <w:rsid w:val="00154865"/>
    <w:rsid w:val="00216999"/>
    <w:rsid w:val="002563B7"/>
    <w:rsid w:val="002B14A8"/>
    <w:rsid w:val="002E6A7A"/>
    <w:rsid w:val="0030379C"/>
    <w:rsid w:val="00353F08"/>
    <w:rsid w:val="003E2976"/>
    <w:rsid w:val="00486F11"/>
    <w:rsid w:val="004D2948"/>
    <w:rsid w:val="004E34DA"/>
    <w:rsid w:val="00506FEE"/>
    <w:rsid w:val="0069627D"/>
    <w:rsid w:val="006A7829"/>
    <w:rsid w:val="00726FB0"/>
    <w:rsid w:val="00800A3C"/>
    <w:rsid w:val="00826E1A"/>
    <w:rsid w:val="0085515A"/>
    <w:rsid w:val="008A7031"/>
    <w:rsid w:val="00906505"/>
    <w:rsid w:val="009547F5"/>
    <w:rsid w:val="00983849"/>
    <w:rsid w:val="00B31F70"/>
    <w:rsid w:val="00B34DA9"/>
    <w:rsid w:val="00B95439"/>
    <w:rsid w:val="00B962CD"/>
    <w:rsid w:val="00BC101D"/>
    <w:rsid w:val="00C179E3"/>
    <w:rsid w:val="00C222DD"/>
    <w:rsid w:val="00C2644B"/>
    <w:rsid w:val="00D16E9E"/>
    <w:rsid w:val="00EC1303"/>
    <w:rsid w:val="00EE4D6C"/>
    <w:rsid w:val="00F806D6"/>
    <w:rsid w:val="00FB7A49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A0C4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39</cp:revision>
  <dcterms:created xsi:type="dcterms:W3CDTF">2022-12-27T07:54:00Z</dcterms:created>
  <dcterms:modified xsi:type="dcterms:W3CDTF">2024-01-10T14:36:00Z</dcterms:modified>
</cp:coreProperties>
</file>